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hint="eastAsia" w:ascii="黑体" w:hAnsi="黑体" w:eastAsia="黑体" w:cs="黑体"/>
          <w:sz w:val="44"/>
          <w:szCs w:val="44"/>
        </w:rPr>
      </w:pPr>
      <w:r>
        <w:rPr>
          <w:rFonts w:hint="eastAsia" w:ascii="黑体" w:hAnsi="黑体" w:eastAsia="黑体" w:cs="黑体"/>
          <w:sz w:val="44"/>
          <w:szCs w:val="44"/>
        </w:rPr>
        <w:t>福建省海岛资源生态监测与保护利用重点实验室开放基金</w:t>
      </w:r>
      <w:r>
        <w:rPr>
          <w:rFonts w:hint="eastAsia" w:ascii="黑体" w:hAnsi="黑体" w:eastAsia="黑体" w:cs="黑体"/>
          <w:sz w:val="44"/>
          <w:szCs w:val="44"/>
          <w:lang w:eastAsia="zh-CN"/>
        </w:rPr>
        <w:t>课题</w:t>
      </w:r>
      <w:r>
        <w:rPr>
          <w:rFonts w:hint="eastAsia" w:ascii="黑体" w:hAnsi="黑体" w:eastAsia="黑体" w:cs="黑体"/>
          <w:sz w:val="44"/>
          <w:szCs w:val="44"/>
        </w:rPr>
        <w:t>管理办法(试行)</w:t>
      </w:r>
    </w:p>
    <w:p>
      <w:pPr>
        <w:spacing w:line="640" w:lineRule="exact"/>
        <w:jc w:val="center"/>
        <w:rPr>
          <w:rFonts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第一章 总  则</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60" w:firstLineChars="200"/>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sz w:val="28"/>
          <w:szCs w:val="28"/>
        </w:rPr>
        <w:t>第一条 为进一步推进福建省海岛资源生态监测与保护利用重点实验室（以下简称“实验室”）建设，规范和加强实验室开放基金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管理，提高资金使用效益，根据《福建省重点实验室管理实施细则》</w:t>
      </w:r>
      <w:r>
        <w:rPr>
          <w:rFonts w:hint="eastAsia" w:asciiTheme="minorEastAsia" w:hAnsiTheme="minorEastAsia" w:eastAsiaTheme="minorEastAsia" w:cstheme="minorEastAsia"/>
          <w:snapToGrid w:val="0"/>
          <w:spacing w:val="4"/>
          <w:sz w:val="28"/>
          <w:szCs w:val="28"/>
        </w:rPr>
        <w:t>（</w:t>
      </w:r>
      <w:r>
        <w:rPr>
          <w:rFonts w:hint="eastAsia" w:asciiTheme="minorEastAsia" w:hAnsiTheme="minorEastAsia" w:eastAsiaTheme="minorEastAsia" w:cstheme="minorEastAsia"/>
          <w:snapToGrid w:val="0"/>
          <w:spacing w:val="4"/>
          <w:sz w:val="28"/>
          <w:szCs w:val="28"/>
        </w:rPr>
        <w:fldChar w:fldCharType="begin"/>
      </w:r>
      <w:r>
        <w:rPr>
          <w:rFonts w:hint="eastAsia" w:asciiTheme="minorEastAsia" w:hAnsiTheme="minorEastAsia" w:eastAsiaTheme="minorEastAsia" w:cstheme="minorEastAsia"/>
          <w:snapToGrid w:val="0"/>
          <w:spacing w:val="4"/>
          <w:sz w:val="28"/>
          <w:szCs w:val="28"/>
        </w:rPr>
        <w:instrText xml:space="preserve"> MERGEFIELD  发文编号 </w:instrText>
      </w:r>
      <w:r>
        <w:rPr>
          <w:rFonts w:hint="eastAsia" w:asciiTheme="minorEastAsia" w:hAnsiTheme="minorEastAsia" w:eastAsiaTheme="minorEastAsia" w:cstheme="minorEastAsia"/>
          <w:snapToGrid w:val="0"/>
          <w:spacing w:val="4"/>
          <w:sz w:val="28"/>
          <w:szCs w:val="28"/>
        </w:rPr>
        <w:fldChar w:fldCharType="separate"/>
      </w:r>
      <w:r>
        <w:rPr>
          <w:rFonts w:hint="eastAsia" w:asciiTheme="minorEastAsia" w:hAnsiTheme="minorEastAsia" w:eastAsiaTheme="minorEastAsia" w:cstheme="minorEastAsia"/>
          <w:snapToGrid w:val="0"/>
          <w:spacing w:val="4"/>
          <w:sz w:val="28"/>
          <w:szCs w:val="28"/>
        </w:rPr>
        <w:t>闽科基〔2016〕8号</w:t>
      </w:r>
      <w:r>
        <w:rPr>
          <w:rFonts w:hint="eastAsia" w:asciiTheme="minorEastAsia" w:hAnsiTheme="minorEastAsia" w:eastAsiaTheme="minorEastAsia" w:cstheme="minorEastAsia"/>
          <w:snapToGrid w:val="0"/>
          <w:spacing w:val="4"/>
          <w:sz w:val="28"/>
          <w:szCs w:val="28"/>
        </w:rPr>
        <w:fldChar w:fldCharType="end"/>
      </w:r>
      <w:r>
        <w:rPr>
          <w:rFonts w:hint="eastAsia" w:asciiTheme="minorEastAsia" w:hAnsiTheme="minorEastAsia" w:eastAsiaTheme="minorEastAsia" w:cstheme="minorEastAsia"/>
          <w:snapToGrid w:val="0"/>
          <w:spacing w:val="4"/>
          <w:sz w:val="28"/>
          <w:szCs w:val="28"/>
        </w:rPr>
        <w:t>）和《福建省科技创新平台管理办法》等相关文件</w:t>
      </w:r>
      <w:r>
        <w:rPr>
          <w:rFonts w:hint="eastAsia" w:asciiTheme="minorEastAsia" w:hAnsiTheme="minorEastAsia" w:eastAsiaTheme="minorEastAsia" w:cstheme="minorEastAsia"/>
          <w:sz w:val="28"/>
          <w:szCs w:val="28"/>
        </w:rPr>
        <w:t>，结合实验室的实际情况制定本</w:t>
      </w:r>
      <w:r>
        <w:rPr>
          <w:rFonts w:hint="eastAsia" w:asciiTheme="minorEastAsia" w:hAnsiTheme="minorEastAsia" w:eastAsiaTheme="minorEastAsia" w:cstheme="minorEastAsia"/>
          <w:sz w:val="28"/>
          <w:szCs w:val="28"/>
          <w:lang w:eastAsia="zh-CN"/>
        </w:rPr>
        <w:t>管理</w:t>
      </w:r>
      <w:r>
        <w:rPr>
          <w:rFonts w:hint="eastAsia" w:asciiTheme="minorEastAsia" w:hAnsiTheme="minorEastAsia" w:eastAsiaTheme="minorEastAsia" w:cstheme="minorEastAsia"/>
          <w:sz w:val="28"/>
          <w:szCs w:val="28"/>
        </w:rPr>
        <w:t>办法。</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第二条 实验室设立开放基金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，欢迎与实验室主要研究方向相关的国内外科研人员尤其是青年学者提出课题申请，实验室将根据有关条件择优予以资助。</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第三条 开放基金从实验室运行费预算中支出，用于资助开放基金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研究，专款专用。</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第四条 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为一次性资助研究基金，资助周期为两年。</w:t>
      </w:r>
    </w:p>
    <w:p>
      <w:pPr>
        <w:keepNext w:val="0"/>
        <w:keepLines w:val="0"/>
        <w:pageBreakBefore w:val="0"/>
        <w:widowControl w:val="0"/>
        <w:kinsoku/>
        <w:wordWrap/>
        <w:overflowPunct/>
        <w:topLinePunct w:val="0"/>
        <w:autoSpaceDE/>
        <w:autoSpaceDN/>
        <w:bidi w:val="0"/>
        <w:adjustRightInd/>
        <w:snapToGrid/>
        <w:spacing w:line="540" w:lineRule="exact"/>
        <w:ind w:firstLine="562" w:firstLineChars="200"/>
        <w:jc w:val="center"/>
        <w:textAlignment w:val="auto"/>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第二章 申请与受理</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642"/>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第五条 开放基</w:t>
      </w:r>
      <w:r>
        <w:rPr>
          <w:rFonts w:hint="eastAsia" w:asciiTheme="minorEastAsia" w:hAnsiTheme="minorEastAsia" w:eastAsiaTheme="minorEastAsia" w:cstheme="minorEastAsia"/>
          <w:color w:val="auto"/>
          <w:sz w:val="28"/>
          <w:szCs w:val="28"/>
        </w:rPr>
        <w:t>金</w:t>
      </w:r>
      <w:r>
        <w:rPr>
          <w:rFonts w:hint="eastAsia" w:asciiTheme="minorEastAsia" w:hAnsiTheme="minorEastAsia" w:eastAsiaTheme="minorEastAsia" w:cstheme="minorEastAsia"/>
          <w:color w:val="auto"/>
          <w:sz w:val="28"/>
          <w:szCs w:val="28"/>
          <w:lang w:eastAsia="zh-CN"/>
        </w:rPr>
        <w:t>课题</w:t>
      </w:r>
      <w:r>
        <w:rPr>
          <w:rFonts w:hint="eastAsia" w:asciiTheme="minorEastAsia" w:hAnsiTheme="minorEastAsia" w:eastAsiaTheme="minorEastAsia" w:cstheme="minorEastAsia"/>
          <w:color w:val="auto"/>
          <w:sz w:val="28"/>
          <w:szCs w:val="28"/>
        </w:rPr>
        <w:t>实行直接申请，申请人应认真填写开放基金申请书，经所在单位签署意见并加盖公章后，报</w:t>
      </w:r>
      <w:r>
        <w:rPr>
          <w:rFonts w:hint="eastAsia" w:asciiTheme="minorEastAsia" w:hAnsiTheme="minorEastAsia" w:eastAsiaTheme="minorEastAsia" w:cstheme="minorEastAsia"/>
          <w:sz w:val="28"/>
          <w:szCs w:val="28"/>
        </w:rPr>
        <w:t>送至</w:t>
      </w:r>
      <w:r>
        <w:rPr>
          <w:rFonts w:hint="eastAsia" w:asciiTheme="minorEastAsia" w:hAnsiTheme="minorEastAsia" w:eastAsiaTheme="minorEastAsia" w:cstheme="minorEastAsia"/>
          <w:sz w:val="28"/>
          <w:szCs w:val="28"/>
          <w:lang w:eastAsia="zh-CN"/>
        </w:rPr>
        <w:t>本</w:t>
      </w:r>
      <w:r>
        <w:rPr>
          <w:rFonts w:hint="eastAsia" w:asciiTheme="minorEastAsia" w:hAnsiTheme="minorEastAsia" w:eastAsiaTheme="minorEastAsia" w:cstheme="minorEastAsia"/>
          <w:sz w:val="28"/>
          <w:szCs w:val="28"/>
        </w:rPr>
        <w:t>实验室，同时</w:t>
      </w:r>
      <w:r>
        <w:rPr>
          <w:rFonts w:hint="eastAsia" w:asciiTheme="minorEastAsia" w:hAnsiTheme="minorEastAsia" w:eastAsiaTheme="minorEastAsia" w:cstheme="minorEastAsia"/>
          <w:color w:val="auto"/>
          <w:sz w:val="28"/>
          <w:szCs w:val="28"/>
        </w:rPr>
        <w:t>应将申请书电子版提交至本实验室邮箱</w:t>
      </w:r>
      <w:r>
        <w:rPr>
          <w:rFonts w:hint="eastAsia" w:asciiTheme="minorEastAsia" w:hAnsiTheme="minorEastAsia" w:eastAsiaTheme="minorEastAsia" w:cstheme="minorEastAsia"/>
          <w:sz w:val="28"/>
          <w:szCs w:val="28"/>
        </w:rPr>
        <w:t>。</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642"/>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第六条 课题申请应符合开放基金申报指南要求，同时申请人应具备以下条件：</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申请人应为非本实验室具有中级及以上职称，或具有硕士及以上学位，并在科研机构、高等院校中任职的科研、教学及技术人员，在所在单位聘期应覆盖课题实施期限。在读博士研究生申请须附导师推荐信；</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（二）申请人同一时间只能申请一项开放课题。已获得本实验室开放课题资助者在结题前不得申请新的课题；</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（三）申请人必须是课题的负责人，且项目完成时间不超过法定退休年龄，另有规定除外；</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（四）课题组主要成员中至少有一位是本实验室的固定人员。每位固定人员当年推荐合作申请的课题数不超过1项，累计获资助的在研课题总数不超过2项。</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color w:val="000000"/>
          <w:kern w:val="0"/>
          <w:sz w:val="28"/>
          <w:szCs w:val="28"/>
        </w:rPr>
        <w:t xml:space="preserve">第七条 </w:t>
      </w:r>
      <w:r>
        <w:rPr>
          <w:rFonts w:hint="eastAsia" w:asciiTheme="minorEastAsia" w:hAnsiTheme="minorEastAsia" w:eastAsiaTheme="minorEastAsia" w:cstheme="minorEastAsia"/>
          <w:sz w:val="28"/>
          <w:szCs w:val="28"/>
        </w:rPr>
        <w:t>实验室特别鼓励具有交叉学科背景的优秀青年科研人员申请开放基金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第八条 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获得资助后，申请人自动成为实验室的客座研究人员，鼓励来实验室开展访问研究。</w:t>
      </w:r>
    </w:p>
    <w:p>
      <w:pPr>
        <w:keepNext w:val="0"/>
        <w:keepLines w:val="0"/>
        <w:pageBreakBefore w:val="0"/>
        <w:widowControl w:val="0"/>
        <w:kinsoku/>
        <w:wordWrap/>
        <w:overflowPunct/>
        <w:topLinePunct w:val="0"/>
        <w:autoSpaceDE/>
        <w:autoSpaceDN/>
        <w:bidi w:val="0"/>
        <w:adjustRightInd/>
        <w:snapToGrid/>
        <w:spacing w:before="156" w:beforeLines="50"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第三章 评审与立项</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第九条 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评审包括形式审查和专家评审，有下列情形之一的，即为形式审查不合格：</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（一）课题申请或推荐手续、材料不完整，或申请书填写不符合要求；</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（二）申请课题的主要研究内容不符合开放基金年度指南资助范围；</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（三）申请人不具备上述第六条规定的基本条件。</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第十条 实验室组织学术委员会不少于5名的相关专业的委员对形式审查通过的课题进行评审，根据专家评审意见和评分排名提出开放基金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资助建议名单。</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第十一条 实验室负责人根据开放基金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资助建议名单，确定资助课题和金额</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评审结果在网上公开发布，并通知申请人和所在单位。</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第十二条 申请人接到批准资助通知后，须在指定期限内向实验室提交《福建省海岛资源生态监测与保护利用重点实验室开放基金课题任务书》（以下简称任务书）一式三份，作为拨款和检查的依据，并将任务书电子版发送至实验室邮箱。逾期不报且未说明理由的视为自动放弃。开放课题经实验室认定后正式立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第十三条 曾获开放基金</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sz w:val="28"/>
          <w:szCs w:val="28"/>
        </w:rPr>
        <w:t>资助取得较好</w:t>
      </w:r>
      <w:r>
        <w:rPr>
          <w:rFonts w:hint="eastAsia" w:asciiTheme="minorEastAsia" w:hAnsiTheme="minorEastAsia" w:eastAsiaTheme="minorEastAsia" w:cstheme="minorEastAsia"/>
          <w:sz w:val="28"/>
          <w:szCs w:val="28"/>
          <w:lang w:eastAsia="zh-CN"/>
        </w:rPr>
        <w:t>考核成绩</w:t>
      </w:r>
      <w:r>
        <w:rPr>
          <w:rFonts w:hint="eastAsia" w:asciiTheme="minorEastAsia" w:hAnsiTheme="minorEastAsia" w:eastAsiaTheme="minorEastAsia" w:cstheme="minorEastAsia"/>
          <w:sz w:val="28"/>
          <w:szCs w:val="28"/>
        </w:rPr>
        <w:t>的研究者，并且为延续性较强的项目，如再次申请，实验室可优先考虑资助。</w:t>
      </w:r>
    </w:p>
    <w:p>
      <w:pPr>
        <w:keepNext w:val="0"/>
        <w:keepLines w:val="0"/>
        <w:pageBreakBefore w:val="0"/>
        <w:widowControl w:val="0"/>
        <w:kinsoku/>
        <w:wordWrap/>
        <w:overflowPunct/>
        <w:topLinePunct w:val="0"/>
        <w:autoSpaceDE/>
        <w:autoSpaceDN/>
        <w:bidi w:val="0"/>
        <w:adjustRightInd/>
        <w:snapToGrid/>
        <w:spacing w:before="156" w:beforeLines="50"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第四章 过程管理</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四</w:t>
      </w:r>
      <w:r>
        <w:rPr>
          <w:rFonts w:hint="eastAsia" w:asciiTheme="minorEastAsia" w:hAnsiTheme="minorEastAsia" w:eastAsiaTheme="minorEastAsia" w:cstheme="minorEastAsia"/>
          <w:sz w:val="28"/>
          <w:szCs w:val="28"/>
        </w:rPr>
        <w:t>条 实验室每年年底对开放</w:t>
      </w:r>
      <w:r>
        <w:rPr>
          <w:rFonts w:hint="eastAsia" w:asciiTheme="minorEastAsia" w:hAnsiTheme="minorEastAsia" w:eastAsiaTheme="minorEastAsia" w:cstheme="minorEastAsia"/>
          <w:sz w:val="28"/>
          <w:szCs w:val="28"/>
          <w:lang w:eastAsia="zh-CN"/>
        </w:rPr>
        <w:t>基金课题</w:t>
      </w:r>
      <w:r>
        <w:rPr>
          <w:rFonts w:hint="eastAsia" w:asciiTheme="minorEastAsia" w:hAnsiTheme="minorEastAsia" w:eastAsiaTheme="minorEastAsia" w:cstheme="minorEastAsia"/>
          <w:sz w:val="28"/>
          <w:szCs w:val="28"/>
        </w:rPr>
        <w:t>的执行情况进行检查。</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color w:val="000000"/>
          <w:kern w:val="0"/>
          <w:sz w:val="28"/>
          <w:szCs w:val="28"/>
        </w:rPr>
        <w:t>负责人应每年11月底前提交《开放基金年度进展报告》，内容包括研究工作进展情况、</w:t>
      </w:r>
      <w:r>
        <w:rPr>
          <w:rFonts w:hint="eastAsia" w:asciiTheme="minorEastAsia" w:hAnsiTheme="minorEastAsia" w:eastAsiaTheme="minorEastAsia" w:cstheme="minorEastAsia"/>
          <w:color w:val="000000"/>
          <w:kern w:val="0"/>
          <w:sz w:val="28"/>
          <w:szCs w:val="28"/>
          <w:lang w:eastAsia="zh-CN"/>
        </w:rPr>
        <w:t>课题</w:t>
      </w:r>
      <w:r>
        <w:rPr>
          <w:rFonts w:hint="eastAsia" w:asciiTheme="minorEastAsia" w:hAnsiTheme="minorEastAsia" w:eastAsiaTheme="minorEastAsia" w:cstheme="minorEastAsia"/>
          <w:color w:val="000000"/>
          <w:kern w:val="0"/>
          <w:sz w:val="28"/>
          <w:szCs w:val="28"/>
        </w:rPr>
        <w:t>经费使用情况、阶段成果情况等。实验室学术委员会对报告审查后提出评审意见。</w:t>
      </w:r>
      <w:r>
        <w:rPr>
          <w:rFonts w:hint="eastAsia" w:asciiTheme="minorEastAsia" w:hAnsiTheme="minorEastAsia" w:eastAsiaTheme="minorEastAsia" w:cstheme="minorEastAsia"/>
          <w:sz w:val="28"/>
          <w:szCs w:val="28"/>
        </w:rPr>
        <w:t>对不报送进展报告、工作无进展、经费使用不当的</w:t>
      </w:r>
      <w:r>
        <w:rPr>
          <w:rFonts w:hint="eastAsia" w:asciiTheme="minorEastAsia" w:hAnsiTheme="minorEastAsia" w:eastAsiaTheme="minorEastAsia" w:cstheme="minorEastAsia"/>
          <w:sz w:val="28"/>
          <w:szCs w:val="28"/>
          <w:lang w:eastAsia="zh-CN"/>
        </w:rPr>
        <w:t>课题</w:t>
      </w:r>
      <w:r>
        <w:rPr>
          <w:rFonts w:hint="eastAsia" w:asciiTheme="minorEastAsia" w:hAnsiTheme="minorEastAsia" w:eastAsiaTheme="minorEastAsia" w:cstheme="minorEastAsia"/>
          <w:color w:val="000000"/>
          <w:kern w:val="0"/>
          <w:sz w:val="28"/>
          <w:szCs w:val="28"/>
        </w:rPr>
        <w:t>，实验室提出整改意见，限期整改。</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color w:val="000000"/>
          <w:kern w:val="0"/>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五</w:t>
      </w:r>
      <w:r>
        <w:rPr>
          <w:rFonts w:hint="eastAsia" w:asciiTheme="minorEastAsia" w:hAnsiTheme="minorEastAsia" w:eastAsiaTheme="minorEastAsia" w:cstheme="minorEastAsia"/>
          <w:sz w:val="28"/>
          <w:szCs w:val="28"/>
        </w:rPr>
        <w:t>条 在课题实施过程中，原则上不得更改任务书。研究目标、内容、期限等确需调整的，课题负责人须</w:t>
      </w:r>
      <w:r>
        <w:rPr>
          <w:rFonts w:hint="eastAsia" w:asciiTheme="minorEastAsia" w:hAnsiTheme="minorEastAsia" w:eastAsiaTheme="minorEastAsia" w:cstheme="minorEastAsia"/>
          <w:sz w:val="28"/>
          <w:szCs w:val="28"/>
          <w:lang w:eastAsia="zh-CN"/>
        </w:rPr>
        <w:t>在项目开始后一年内</w:t>
      </w:r>
      <w:r>
        <w:rPr>
          <w:rFonts w:hint="eastAsia" w:asciiTheme="minorEastAsia" w:hAnsiTheme="minorEastAsia" w:eastAsiaTheme="minorEastAsia" w:cstheme="minorEastAsia"/>
          <w:sz w:val="28"/>
          <w:szCs w:val="28"/>
        </w:rPr>
        <w:t>提出书面申请，经所在单位审查同意后，报实验室核准。</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六</w:t>
      </w:r>
      <w:r>
        <w:rPr>
          <w:rFonts w:hint="eastAsia" w:asciiTheme="minorEastAsia" w:hAnsiTheme="minorEastAsia" w:eastAsiaTheme="minorEastAsia" w:cstheme="minorEastAsia"/>
          <w:sz w:val="28"/>
          <w:szCs w:val="28"/>
        </w:rPr>
        <w:t>条 课题负责人一般不得代理或更换，遇有特殊情况（如出国、病休、调离原单位、毕业、休学等）所在单位应当及时提出更换负责人的申请，报实验室核准，确保课题顺利完成。</w:t>
      </w:r>
    </w:p>
    <w:p>
      <w:pPr>
        <w:keepNext w:val="0"/>
        <w:keepLines w:val="0"/>
        <w:pageBreakBefore w:val="0"/>
        <w:widowControl w:val="0"/>
        <w:kinsoku/>
        <w:wordWrap/>
        <w:overflowPunct/>
        <w:topLinePunct w:val="0"/>
        <w:autoSpaceDE/>
        <w:autoSpaceDN/>
        <w:bidi w:val="0"/>
        <w:adjustRightInd/>
        <w:snapToGrid/>
        <w:spacing w:before="156" w:beforeLines="50"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第五章 验收与结题</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七</w:t>
      </w:r>
      <w:r>
        <w:rPr>
          <w:rFonts w:hint="eastAsia" w:asciiTheme="minorEastAsia" w:hAnsiTheme="minorEastAsia" w:eastAsiaTheme="minorEastAsia" w:cstheme="minorEastAsia"/>
          <w:sz w:val="28"/>
          <w:szCs w:val="28"/>
        </w:rPr>
        <w:t>条 课题申请结题时，课题负责人应向实验室提交下列材料：</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（一）开放课题结题报告；</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（二）经费决算表；</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（三）已发表及已正式录用的符合实验室署名要求的专著、学术论文、标准等；</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（四）其它与本课题相关的研究成果（如软件、数据库、成果报道、知识产权证书、获奖成果证书等）。</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八</w:t>
      </w:r>
      <w:r>
        <w:rPr>
          <w:rFonts w:hint="eastAsia" w:asciiTheme="minorEastAsia" w:hAnsiTheme="minorEastAsia" w:eastAsiaTheme="minorEastAsia" w:cstheme="minorEastAsia"/>
          <w:sz w:val="28"/>
          <w:szCs w:val="28"/>
        </w:rPr>
        <w:t>条 实验室组织专家对课题进行验收，对完成研究计划书规定任务的课题给予“同意通过验收”结论；同时根据研究成果的科学价值、创新技术水平、推广应用前景等将完成课题分为“优秀”、“良好”、“合格”三个等级并给出验收意见。考核验收情况报实验室审定。出现以下情况之一者，视为“不合格”：1）未完成结题考核指标；2）存在科研不端或其他违规违纪行为。验收结果通知课题负责人和所在单位。</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color w:val="000000"/>
          <w:sz w:val="28"/>
          <w:szCs w:val="28"/>
        </w:rPr>
      </w:pPr>
      <w:r>
        <w:rPr>
          <w:rFonts w:hint="eastAsia" w:asciiTheme="minorEastAsia" w:hAnsiTheme="minorEastAsia" w:eastAsiaTheme="minorEastAsia" w:cstheme="minorEastAsia"/>
          <w:sz w:val="28"/>
          <w:szCs w:val="28"/>
        </w:rPr>
        <w:t>第十</w:t>
      </w:r>
      <w:r>
        <w:rPr>
          <w:rFonts w:hint="eastAsia" w:asciiTheme="minorEastAsia" w:hAnsiTheme="minorEastAsia" w:eastAsiaTheme="minorEastAsia" w:cstheme="minorEastAsia"/>
          <w:sz w:val="28"/>
          <w:szCs w:val="28"/>
          <w:lang w:eastAsia="zh-CN"/>
        </w:rPr>
        <w:t>九</w:t>
      </w:r>
      <w:r>
        <w:rPr>
          <w:rFonts w:hint="eastAsia" w:asciiTheme="minorEastAsia" w:hAnsiTheme="minorEastAsia" w:eastAsiaTheme="minorEastAsia" w:cstheme="minorEastAsia"/>
          <w:sz w:val="28"/>
          <w:szCs w:val="28"/>
        </w:rPr>
        <w:t xml:space="preserve">条 </w:t>
      </w:r>
      <w:r>
        <w:rPr>
          <w:rFonts w:hint="eastAsia" w:asciiTheme="minorEastAsia" w:hAnsiTheme="minorEastAsia" w:eastAsiaTheme="minorEastAsia" w:cstheme="minorEastAsia"/>
          <w:color w:val="000000"/>
          <w:kern w:val="0"/>
          <w:sz w:val="28"/>
          <w:szCs w:val="28"/>
        </w:rPr>
        <w:t>开放基金课题的研究成果由课题负责人及所在单位和</w:t>
      </w:r>
      <w:r>
        <w:rPr>
          <w:rFonts w:hint="eastAsia" w:asciiTheme="minorEastAsia" w:hAnsiTheme="minorEastAsia" w:eastAsiaTheme="minorEastAsia" w:cstheme="minorEastAsia"/>
          <w:color w:val="000000"/>
          <w:kern w:val="0"/>
          <w:sz w:val="28"/>
          <w:szCs w:val="28"/>
          <w:lang w:eastAsia="zh-CN"/>
        </w:rPr>
        <w:t>本</w:t>
      </w:r>
      <w:r>
        <w:rPr>
          <w:rFonts w:hint="eastAsia" w:asciiTheme="minorEastAsia" w:hAnsiTheme="minorEastAsia" w:eastAsiaTheme="minorEastAsia" w:cstheme="minorEastAsia"/>
          <w:color w:val="000000"/>
          <w:kern w:val="0"/>
          <w:sz w:val="28"/>
          <w:szCs w:val="28"/>
        </w:rPr>
        <w:t>实验室共享。开放基金课题资助发表的论文、专著和专利等研究成果的作者第一署名单位必须标注“福</w:t>
      </w:r>
      <w:r>
        <w:rPr>
          <w:rFonts w:hint="eastAsia" w:asciiTheme="minorEastAsia" w:hAnsiTheme="minorEastAsia" w:eastAsiaTheme="minorEastAsia" w:cstheme="minorEastAsia"/>
          <w:sz w:val="28"/>
          <w:szCs w:val="28"/>
        </w:rPr>
        <w:t>建省海岛资源生态监测与保护利用重点实验室</w:t>
      </w:r>
      <w:r>
        <w:rPr>
          <w:rFonts w:hint="eastAsia" w:asciiTheme="minorEastAsia" w:hAnsiTheme="minorEastAsia" w:eastAsiaTheme="minorEastAsia" w:cstheme="minorEastAsia"/>
          <w:sz w:val="28"/>
          <w:szCs w:val="28"/>
          <w:lang w:eastAsia="zh-CN"/>
        </w:rPr>
        <w:t>”或“</w:t>
      </w:r>
      <w:r>
        <w:rPr>
          <w:rFonts w:hint="eastAsia" w:asciiTheme="minorEastAsia" w:hAnsiTheme="minorEastAsia" w:eastAsiaTheme="minorEastAsia" w:cstheme="minorEastAsia"/>
          <w:kern w:val="0"/>
          <w:sz w:val="28"/>
          <w:szCs w:val="28"/>
        </w:rPr>
        <w:t xml:space="preserve"> Fujian Key Laboratory of Island Monitoring and Ecological Development （Island Research Center, MNR）</w:t>
      </w:r>
      <w:r>
        <w:rPr>
          <w:rFonts w:hint="eastAsia" w:asciiTheme="minorEastAsia" w:hAnsiTheme="minorEastAsia" w:eastAsiaTheme="minorEastAsia" w:cstheme="minorEastAsia"/>
          <w:kern w:val="0"/>
          <w:sz w:val="28"/>
          <w:szCs w:val="28"/>
          <w:lang w:eastAsia="zh-CN"/>
        </w:rPr>
        <w:t>”。同时，研究成果必须标注</w:t>
      </w:r>
      <w:r>
        <w:rPr>
          <w:rFonts w:hint="eastAsia" w:asciiTheme="minorEastAsia" w:hAnsiTheme="minorEastAsia" w:eastAsiaTheme="minorEastAsia" w:cstheme="minorEastAsia"/>
          <w:color w:val="000000"/>
          <w:kern w:val="0"/>
          <w:sz w:val="28"/>
          <w:szCs w:val="28"/>
        </w:rPr>
        <w:t>“</w:t>
      </w:r>
      <w:r>
        <w:rPr>
          <w:rFonts w:hint="eastAsia" w:asciiTheme="minorEastAsia" w:hAnsiTheme="minorEastAsia" w:eastAsiaTheme="minorEastAsia" w:cstheme="minorEastAsia"/>
          <w:sz w:val="28"/>
          <w:szCs w:val="28"/>
        </w:rPr>
        <w:t>福建省海岛资源生态监测与保护利用重点实验室</w:t>
      </w:r>
      <w:r>
        <w:rPr>
          <w:rFonts w:hint="eastAsia" w:asciiTheme="minorEastAsia" w:hAnsiTheme="minorEastAsia" w:eastAsiaTheme="minorEastAsia" w:cstheme="minorEastAsia"/>
          <w:kern w:val="0"/>
          <w:sz w:val="28"/>
          <w:szCs w:val="28"/>
        </w:rPr>
        <w:t>开放基金课题（编号:XXXXXX）资助</w:t>
      </w:r>
      <w:r>
        <w:rPr>
          <w:rFonts w:hint="eastAsia" w:asciiTheme="minorEastAsia" w:hAnsiTheme="minorEastAsia" w:eastAsiaTheme="minorEastAsia" w:cstheme="minorEastAsia"/>
          <w:color w:val="000000"/>
          <w:kern w:val="0"/>
          <w:sz w:val="28"/>
          <w:szCs w:val="28"/>
        </w:rPr>
        <w:t>”或“</w:t>
      </w:r>
      <w:r>
        <w:rPr>
          <w:rFonts w:hint="eastAsia" w:asciiTheme="minorEastAsia" w:hAnsiTheme="minorEastAsia" w:eastAsiaTheme="minorEastAsia" w:cstheme="minorEastAsia"/>
          <w:kern w:val="0"/>
          <w:sz w:val="28"/>
          <w:szCs w:val="28"/>
        </w:rPr>
        <w:t>The project was supported by the Fund of Fujian Key Laboratory of Island Monitoring and Ecological Development （Island Research Center, MNR）（NO:XXXXXX）</w:t>
      </w:r>
      <w:r>
        <w:rPr>
          <w:rFonts w:hint="eastAsia" w:asciiTheme="minorEastAsia" w:hAnsiTheme="minorEastAsia" w:eastAsiaTheme="minorEastAsia" w:cstheme="minorEastAsia"/>
          <w:color w:val="000000"/>
          <w:kern w:val="0"/>
          <w:sz w:val="28"/>
          <w:szCs w:val="28"/>
        </w:rPr>
        <w:t>”</w:t>
      </w:r>
      <w:r>
        <w:rPr>
          <w:rFonts w:hint="eastAsia" w:asciiTheme="minorEastAsia" w:hAnsiTheme="minorEastAsia" w:eastAsiaTheme="minorEastAsia" w:cstheme="minorEastAsia"/>
          <w:kern w:val="0"/>
          <w:sz w:val="28"/>
          <w:szCs w:val="28"/>
        </w:rPr>
        <w:t>。</w:t>
      </w:r>
    </w:p>
    <w:p>
      <w:pPr>
        <w:keepNext w:val="0"/>
        <w:keepLines w:val="0"/>
        <w:pageBreakBefore w:val="0"/>
        <w:widowControl w:val="0"/>
        <w:kinsoku/>
        <w:wordWrap/>
        <w:overflowPunct/>
        <w:topLinePunct w:val="0"/>
        <w:autoSpaceDE/>
        <w:autoSpaceDN/>
        <w:bidi w:val="0"/>
        <w:adjustRightInd/>
        <w:snapToGrid/>
        <w:spacing w:before="156" w:beforeLines="50"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第六章 经费管理</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w:t>
      </w:r>
      <w:r>
        <w:rPr>
          <w:rFonts w:hint="eastAsia" w:asciiTheme="minorEastAsia" w:hAnsiTheme="minorEastAsia" w:eastAsiaTheme="minorEastAsia" w:cstheme="minorEastAsia"/>
          <w:sz w:val="28"/>
          <w:szCs w:val="28"/>
          <w:lang w:eastAsia="zh-CN"/>
        </w:rPr>
        <w:t>二十</w:t>
      </w:r>
      <w:r>
        <w:rPr>
          <w:rFonts w:hint="eastAsia" w:asciiTheme="minorEastAsia" w:hAnsiTheme="minorEastAsia" w:eastAsiaTheme="minorEastAsia" w:cstheme="minorEastAsia"/>
          <w:sz w:val="28"/>
          <w:szCs w:val="28"/>
        </w:rPr>
        <w:t>条 开放</w:t>
      </w:r>
      <w:r>
        <w:rPr>
          <w:rFonts w:hint="eastAsia" w:asciiTheme="minorEastAsia" w:hAnsiTheme="minorEastAsia" w:eastAsiaTheme="minorEastAsia" w:cstheme="minorEastAsia"/>
          <w:sz w:val="28"/>
          <w:szCs w:val="28"/>
          <w:lang w:eastAsia="zh-CN"/>
        </w:rPr>
        <w:t>基金</w:t>
      </w:r>
      <w:r>
        <w:rPr>
          <w:rFonts w:hint="eastAsia" w:asciiTheme="minorEastAsia" w:hAnsiTheme="minorEastAsia" w:eastAsiaTheme="minorEastAsia" w:cstheme="minorEastAsia"/>
          <w:sz w:val="28"/>
          <w:szCs w:val="28"/>
        </w:rPr>
        <w:t>课题实行课题负责制，课题负责人负责研究工作的组织和经费的使用。</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一</w:t>
      </w:r>
      <w:r>
        <w:rPr>
          <w:rFonts w:hint="eastAsia" w:asciiTheme="minorEastAsia" w:hAnsiTheme="minorEastAsia" w:eastAsiaTheme="minorEastAsia" w:cstheme="minorEastAsia"/>
          <w:sz w:val="28"/>
          <w:szCs w:val="28"/>
        </w:rPr>
        <w:t>条 实验室开放课题的开支包括以下几个方面：</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（一）材料费；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（二）测试化验加工费；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（三）专家咨询费；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（四）差旅费（包括项目组成员的住宿费、样品采集、国内学术会议、调研、评审或鉴定）；</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（五）出版/文献/信息传播/知识产权事务费。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（六）劳务费</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二</w:t>
      </w:r>
      <w:r>
        <w:rPr>
          <w:rFonts w:hint="eastAsia" w:asciiTheme="minorEastAsia" w:hAnsiTheme="minorEastAsia" w:eastAsiaTheme="minorEastAsia" w:cstheme="minorEastAsia"/>
          <w:sz w:val="28"/>
          <w:szCs w:val="28"/>
        </w:rPr>
        <w:t>条 资助资金按课题分别进行核算，节余可跨年度使用。在本课题启动24个月后，若尚有剩余经费，实验室将收回。</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三</w:t>
      </w:r>
      <w:r>
        <w:rPr>
          <w:rFonts w:hint="eastAsia" w:asciiTheme="minorEastAsia" w:hAnsiTheme="minorEastAsia" w:eastAsiaTheme="minorEastAsia" w:cstheme="minorEastAsia"/>
          <w:sz w:val="28"/>
          <w:szCs w:val="28"/>
        </w:rPr>
        <w:t>条 未通过验收的课题，</w:t>
      </w:r>
      <w:r>
        <w:rPr>
          <w:rFonts w:hint="eastAsia" w:asciiTheme="minorEastAsia" w:hAnsiTheme="minorEastAsia" w:eastAsiaTheme="minorEastAsia" w:cstheme="minorEastAsia"/>
          <w:sz w:val="28"/>
          <w:szCs w:val="28"/>
          <w:lang w:val="en-US" w:eastAsia="zh-CN"/>
        </w:rPr>
        <w:t>2年内不得申报本</w:t>
      </w:r>
      <w:r>
        <w:rPr>
          <w:rFonts w:hint="eastAsia" w:asciiTheme="minorEastAsia" w:hAnsiTheme="minorEastAsia" w:eastAsiaTheme="minorEastAsia" w:cstheme="minorEastAsia"/>
          <w:sz w:val="28"/>
          <w:szCs w:val="28"/>
        </w:rPr>
        <w:t>实验室</w:t>
      </w:r>
      <w:r>
        <w:rPr>
          <w:rFonts w:hint="eastAsia" w:asciiTheme="minorEastAsia" w:hAnsiTheme="minorEastAsia" w:eastAsiaTheme="minorEastAsia" w:cstheme="minorEastAsia"/>
          <w:sz w:val="28"/>
          <w:szCs w:val="28"/>
          <w:lang w:eastAsia="zh-CN"/>
        </w:rPr>
        <w:t>开放基金课题</w:t>
      </w:r>
      <w:r>
        <w:rPr>
          <w:rFonts w:hint="eastAsia" w:asciiTheme="minorEastAsia" w:hAnsiTheme="minorEastAsia" w:eastAsiaTheme="minorEastAsia" w:cstheme="minorEastAsia"/>
          <w:sz w:val="28"/>
          <w:szCs w:val="28"/>
        </w:rPr>
        <w:t>。</w:t>
      </w:r>
    </w:p>
    <w:p>
      <w:pPr>
        <w:keepNext w:val="0"/>
        <w:keepLines w:val="0"/>
        <w:pageBreakBefore w:val="0"/>
        <w:widowControl w:val="0"/>
        <w:kinsoku/>
        <w:wordWrap/>
        <w:overflowPunct/>
        <w:topLinePunct w:val="0"/>
        <w:autoSpaceDE/>
        <w:autoSpaceDN/>
        <w:bidi w:val="0"/>
        <w:adjustRightInd/>
        <w:snapToGrid/>
        <w:spacing w:before="156" w:beforeLines="50" w:line="540" w:lineRule="exact"/>
        <w:jc w:val="center"/>
        <w:textAlignment w:val="auto"/>
        <w:rPr>
          <w:rFonts w:hint="eastAsia" w:asciiTheme="minorEastAsia" w:hAnsiTheme="minorEastAsia" w:eastAsiaTheme="minorEastAsia" w:cstheme="minorEastAsia"/>
          <w:b/>
          <w:sz w:val="28"/>
          <w:szCs w:val="28"/>
        </w:rPr>
      </w:pPr>
      <w:r>
        <w:rPr>
          <w:rFonts w:hint="eastAsia" w:asciiTheme="minorEastAsia" w:hAnsiTheme="minorEastAsia" w:eastAsiaTheme="minorEastAsia" w:cstheme="minorEastAsia"/>
          <w:b/>
          <w:sz w:val="28"/>
          <w:szCs w:val="28"/>
        </w:rPr>
        <w:t>第七章  附  则</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48" w:firstLineChars="196"/>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四</w:t>
      </w:r>
      <w:r>
        <w:rPr>
          <w:rFonts w:hint="eastAsia" w:asciiTheme="minorEastAsia" w:hAnsiTheme="minorEastAsia" w:eastAsiaTheme="minorEastAsia" w:cstheme="minorEastAsia"/>
          <w:sz w:val="28"/>
          <w:szCs w:val="28"/>
        </w:rPr>
        <w:t>条 重点实验室根据科研需求每年发布年度指南。</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五</w:t>
      </w:r>
      <w:r>
        <w:rPr>
          <w:rFonts w:hint="eastAsia" w:asciiTheme="minorEastAsia" w:hAnsiTheme="minorEastAsia" w:eastAsiaTheme="minorEastAsia" w:cstheme="minorEastAsia"/>
          <w:sz w:val="28"/>
          <w:szCs w:val="28"/>
        </w:rPr>
        <w:t>条 本办法自公布之日起执行。</w:t>
      </w:r>
    </w:p>
    <w:p>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第二十</w:t>
      </w:r>
      <w:r>
        <w:rPr>
          <w:rFonts w:hint="eastAsia" w:asciiTheme="minorEastAsia" w:hAnsiTheme="minorEastAsia" w:eastAsiaTheme="minorEastAsia" w:cstheme="minorEastAsia"/>
          <w:sz w:val="28"/>
          <w:szCs w:val="28"/>
          <w:lang w:eastAsia="zh-CN"/>
        </w:rPr>
        <w:t>六</w:t>
      </w:r>
      <w:r>
        <w:rPr>
          <w:rFonts w:hint="eastAsia" w:asciiTheme="minorEastAsia" w:hAnsiTheme="minorEastAsia" w:eastAsiaTheme="minorEastAsia" w:cstheme="minorEastAsia"/>
          <w:sz w:val="28"/>
          <w:szCs w:val="28"/>
        </w:rPr>
        <w:t>条 本办法由本实验室负责解释。</w:t>
      </w:r>
    </w:p>
    <w:p>
      <w:pPr>
        <w:keepNext w:val="0"/>
        <w:keepLines w:val="0"/>
        <w:pageBreakBefore w:val="0"/>
        <w:widowControl w:val="0"/>
        <w:kinsoku/>
        <w:wordWrap/>
        <w:overflowPunct/>
        <w:topLinePunct w:val="0"/>
        <w:autoSpaceDE/>
        <w:autoSpaceDN/>
        <w:bidi w:val="0"/>
        <w:adjustRightInd/>
        <w:snapToGrid/>
        <w:spacing w:before="156" w:beforeLines="50" w:line="540" w:lineRule="exact"/>
        <w:ind w:firstLine="560" w:firstLineChars="200"/>
        <w:textAlignment w:val="auto"/>
        <w:rPr>
          <w:rFonts w:hint="eastAsia" w:asciiTheme="minorEastAsia" w:hAnsiTheme="minorEastAsia" w:eastAsiaTheme="minorEastAsia" w:cstheme="minorEastAsia"/>
          <w:bCs/>
          <w:color w:val="000000"/>
          <w:kern w:val="0"/>
          <w:sz w:val="28"/>
          <w:szCs w:val="28"/>
        </w:rPr>
      </w:pPr>
      <w:bookmarkStart w:id="0" w:name="_GoBack"/>
      <w:bookmarkEnd w:id="0"/>
    </w:p>
    <w:sectPr>
      <w:footerReference r:id="rId3" w:type="default"/>
      <w:footerReference r:id="rId4" w:type="even"/>
      <w:pgSz w:w="11906" w:h="16838"/>
      <w:pgMar w:top="1383" w:right="1689" w:bottom="1383" w:left="1689"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embedRegular r:id="rId1" w:fontKey="{0264897F-4264-41B2-A9A4-F6B93AA30A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right" w:y="1"/>
      <w:rPr>
        <w:rStyle w:val="15"/>
        <w:sz w:val="22"/>
        <w:szCs w:val="22"/>
      </w:rPr>
    </w:pPr>
    <w:r>
      <w:rPr>
        <w:sz w:val="22"/>
        <w:szCs w:val="22"/>
      </w:rPr>
      <w:fldChar w:fldCharType="begin"/>
    </w:r>
    <w:r>
      <w:rPr>
        <w:rStyle w:val="15"/>
        <w:sz w:val="22"/>
        <w:szCs w:val="22"/>
      </w:rPr>
      <w:instrText xml:space="preserve">PAGE  </w:instrText>
    </w:r>
    <w:r>
      <w:rPr>
        <w:sz w:val="22"/>
        <w:szCs w:val="22"/>
      </w:rPr>
      <w:fldChar w:fldCharType="separate"/>
    </w:r>
    <w:r>
      <w:rPr>
        <w:rStyle w:val="15"/>
        <w:sz w:val="22"/>
        <w:szCs w:val="22"/>
      </w:rPr>
      <w:t>5</w:t>
    </w:r>
    <w:r>
      <w:rPr>
        <w:sz w:val="22"/>
        <w:szCs w:val="22"/>
      </w:rPr>
      <w:fldChar w:fldCharType="end"/>
    </w:r>
  </w:p>
  <w:p>
    <w:pPr>
      <w:pStyle w:val="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right" w:y="1"/>
      <w:rPr>
        <w:rStyle w:val="15"/>
      </w:rPr>
    </w:pPr>
    <w:r>
      <w:fldChar w:fldCharType="begin"/>
    </w:r>
    <w:r>
      <w:rPr>
        <w:rStyle w:val="15"/>
      </w:rPr>
      <w:instrText xml:space="preserve">PAGE  </w:instrText>
    </w:r>
    <w:r>
      <w:fldChar w:fldCharType="end"/>
    </w:r>
  </w:p>
  <w:p>
    <w:pPr>
      <w:pStyle w:val="9"/>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mM2U5N2Y5MWExZWQ3NTE2MTFkNmU4ODE3Mjc3MWEifQ=="/>
  </w:docVars>
  <w:rsids>
    <w:rsidRoot w:val="00A051F7"/>
    <w:rsid w:val="00000E47"/>
    <w:rsid w:val="00014F26"/>
    <w:rsid w:val="00025F50"/>
    <w:rsid w:val="00046A33"/>
    <w:rsid w:val="00060FCA"/>
    <w:rsid w:val="00062755"/>
    <w:rsid w:val="000751AB"/>
    <w:rsid w:val="000764D9"/>
    <w:rsid w:val="00083ED6"/>
    <w:rsid w:val="000B6D94"/>
    <w:rsid w:val="000C7E29"/>
    <w:rsid w:val="000D765D"/>
    <w:rsid w:val="000F2A2F"/>
    <w:rsid w:val="001220A2"/>
    <w:rsid w:val="00126C16"/>
    <w:rsid w:val="001473FB"/>
    <w:rsid w:val="00196B29"/>
    <w:rsid w:val="001F09F2"/>
    <w:rsid w:val="001F1205"/>
    <w:rsid w:val="0021372A"/>
    <w:rsid w:val="00242623"/>
    <w:rsid w:val="00253117"/>
    <w:rsid w:val="00266511"/>
    <w:rsid w:val="00272B59"/>
    <w:rsid w:val="00277D8C"/>
    <w:rsid w:val="00296514"/>
    <w:rsid w:val="002A7DD2"/>
    <w:rsid w:val="002B453B"/>
    <w:rsid w:val="002B657B"/>
    <w:rsid w:val="002C2107"/>
    <w:rsid w:val="002C4D41"/>
    <w:rsid w:val="002D63AA"/>
    <w:rsid w:val="002F13A9"/>
    <w:rsid w:val="002F6E0F"/>
    <w:rsid w:val="0030074E"/>
    <w:rsid w:val="00300F51"/>
    <w:rsid w:val="00302920"/>
    <w:rsid w:val="003043BA"/>
    <w:rsid w:val="003344D8"/>
    <w:rsid w:val="00335583"/>
    <w:rsid w:val="00337BEE"/>
    <w:rsid w:val="003419C0"/>
    <w:rsid w:val="0034262F"/>
    <w:rsid w:val="003514BE"/>
    <w:rsid w:val="0036445C"/>
    <w:rsid w:val="00365C7C"/>
    <w:rsid w:val="003672AB"/>
    <w:rsid w:val="00375C63"/>
    <w:rsid w:val="0038051B"/>
    <w:rsid w:val="003B219C"/>
    <w:rsid w:val="003C764D"/>
    <w:rsid w:val="003D69DB"/>
    <w:rsid w:val="00401710"/>
    <w:rsid w:val="0041628A"/>
    <w:rsid w:val="004204BF"/>
    <w:rsid w:val="00426B11"/>
    <w:rsid w:val="004457F3"/>
    <w:rsid w:val="00451650"/>
    <w:rsid w:val="00462EE2"/>
    <w:rsid w:val="00464D69"/>
    <w:rsid w:val="004721B8"/>
    <w:rsid w:val="0047444B"/>
    <w:rsid w:val="00475A15"/>
    <w:rsid w:val="00480550"/>
    <w:rsid w:val="00494516"/>
    <w:rsid w:val="0049798E"/>
    <w:rsid w:val="004A5DA0"/>
    <w:rsid w:val="004B5B46"/>
    <w:rsid w:val="004B5E44"/>
    <w:rsid w:val="004B7FB9"/>
    <w:rsid w:val="004D2C34"/>
    <w:rsid w:val="004D3BDE"/>
    <w:rsid w:val="004D4896"/>
    <w:rsid w:val="004E05CB"/>
    <w:rsid w:val="004E6B91"/>
    <w:rsid w:val="004F3573"/>
    <w:rsid w:val="0050480C"/>
    <w:rsid w:val="00505D09"/>
    <w:rsid w:val="00506CFE"/>
    <w:rsid w:val="00512839"/>
    <w:rsid w:val="00531A25"/>
    <w:rsid w:val="00535E5B"/>
    <w:rsid w:val="00542B4E"/>
    <w:rsid w:val="0054492A"/>
    <w:rsid w:val="005568F3"/>
    <w:rsid w:val="00561029"/>
    <w:rsid w:val="005634FB"/>
    <w:rsid w:val="005640D3"/>
    <w:rsid w:val="00565E1F"/>
    <w:rsid w:val="00571319"/>
    <w:rsid w:val="00574957"/>
    <w:rsid w:val="00587F0A"/>
    <w:rsid w:val="00593CFF"/>
    <w:rsid w:val="005A7D18"/>
    <w:rsid w:val="005B0013"/>
    <w:rsid w:val="005B6F18"/>
    <w:rsid w:val="005C5C86"/>
    <w:rsid w:val="005C7C59"/>
    <w:rsid w:val="005D2E82"/>
    <w:rsid w:val="005D5D61"/>
    <w:rsid w:val="005F6D78"/>
    <w:rsid w:val="005F7B7A"/>
    <w:rsid w:val="0062742B"/>
    <w:rsid w:val="0063192F"/>
    <w:rsid w:val="00633107"/>
    <w:rsid w:val="00640D71"/>
    <w:rsid w:val="006421BF"/>
    <w:rsid w:val="00666121"/>
    <w:rsid w:val="00676765"/>
    <w:rsid w:val="006855EC"/>
    <w:rsid w:val="006B0ED8"/>
    <w:rsid w:val="006C63D0"/>
    <w:rsid w:val="006D0A3C"/>
    <w:rsid w:val="006F6A84"/>
    <w:rsid w:val="007150A5"/>
    <w:rsid w:val="00720745"/>
    <w:rsid w:val="007265E3"/>
    <w:rsid w:val="00740482"/>
    <w:rsid w:val="007436F1"/>
    <w:rsid w:val="0075065C"/>
    <w:rsid w:val="00757F39"/>
    <w:rsid w:val="0076306D"/>
    <w:rsid w:val="00764EDD"/>
    <w:rsid w:val="00773EB1"/>
    <w:rsid w:val="007840A5"/>
    <w:rsid w:val="007917FB"/>
    <w:rsid w:val="0079192D"/>
    <w:rsid w:val="00795BCA"/>
    <w:rsid w:val="007A103F"/>
    <w:rsid w:val="007A153C"/>
    <w:rsid w:val="007A5189"/>
    <w:rsid w:val="007D394D"/>
    <w:rsid w:val="007D5625"/>
    <w:rsid w:val="007D6C7A"/>
    <w:rsid w:val="007E4112"/>
    <w:rsid w:val="007E6846"/>
    <w:rsid w:val="007F06BD"/>
    <w:rsid w:val="00807D1C"/>
    <w:rsid w:val="0082070B"/>
    <w:rsid w:val="0083428A"/>
    <w:rsid w:val="00854732"/>
    <w:rsid w:val="00856BAF"/>
    <w:rsid w:val="00857E62"/>
    <w:rsid w:val="008662C2"/>
    <w:rsid w:val="00867CB7"/>
    <w:rsid w:val="0088572E"/>
    <w:rsid w:val="008A2B6C"/>
    <w:rsid w:val="008A572C"/>
    <w:rsid w:val="008C459C"/>
    <w:rsid w:val="008D23E1"/>
    <w:rsid w:val="008E2163"/>
    <w:rsid w:val="008E54E2"/>
    <w:rsid w:val="008F2306"/>
    <w:rsid w:val="009017C4"/>
    <w:rsid w:val="0090470B"/>
    <w:rsid w:val="009125D5"/>
    <w:rsid w:val="00932520"/>
    <w:rsid w:val="0094133B"/>
    <w:rsid w:val="00941869"/>
    <w:rsid w:val="00953C98"/>
    <w:rsid w:val="00966DA3"/>
    <w:rsid w:val="00971358"/>
    <w:rsid w:val="00987B5E"/>
    <w:rsid w:val="009956A9"/>
    <w:rsid w:val="009B445A"/>
    <w:rsid w:val="009C288B"/>
    <w:rsid w:val="009D2F9A"/>
    <w:rsid w:val="009D532A"/>
    <w:rsid w:val="009E075D"/>
    <w:rsid w:val="00A03778"/>
    <w:rsid w:val="00A04AA4"/>
    <w:rsid w:val="00A051F7"/>
    <w:rsid w:val="00A14876"/>
    <w:rsid w:val="00A162F8"/>
    <w:rsid w:val="00A16563"/>
    <w:rsid w:val="00A24424"/>
    <w:rsid w:val="00A52590"/>
    <w:rsid w:val="00A57F1C"/>
    <w:rsid w:val="00A66419"/>
    <w:rsid w:val="00A75930"/>
    <w:rsid w:val="00A76D33"/>
    <w:rsid w:val="00A838B0"/>
    <w:rsid w:val="00AA2156"/>
    <w:rsid w:val="00AA3416"/>
    <w:rsid w:val="00AA598C"/>
    <w:rsid w:val="00AA72A9"/>
    <w:rsid w:val="00AB4F65"/>
    <w:rsid w:val="00AE66B7"/>
    <w:rsid w:val="00AF2B1F"/>
    <w:rsid w:val="00B05463"/>
    <w:rsid w:val="00B11CA7"/>
    <w:rsid w:val="00B16F6B"/>
    <w:rsid w:val="00B2031E"/>
    <w:rsid w:val="00B21565"/>
    <w:rsid w:val="00B316A8"/>
    <w:rsid w:val="00B546C6"/>
    <w:rsid w:val="00B70EA1"/>
    <w:rsid w:val="00B70EED"/>
    <w:rsid w:val="00B748B0"/>
    <w:rsid w:val="00B933D9"/>
    <w:rsid w:val="00BA5D82"/>
    <w:rsid w:val="00BB2220"/>
    <w:rsid w:val="00BB4243"/>
    <w:rsid w:val="00BC15D0"/>
    <w:rsid w:val="00BD4947"/>
    <w:rsid w:val="00BE1A24"/>
    <w:rsid w:val="00BE4C3E"/>
    <w:rsid w:val="00BF1E80"/>
    <w:rsid w:val="00BF6616"/>
    <w:rsid w:val="00C125F1"/>
    <w:rsid w:val="00C24A66"/>
    <w:rsid w:val="00C453AD"/>
    <w:rsid w:val="00C52727"/>
    <w:rsid w:val="00C676B7"/>
    <w:rsid w:val="00C80869"/>
    <w:rsid w:val="00C82042"/>
    <w:rsid w:val="00CC125C"/>
    <w:rsid w:val="00CD2EA6"/>
    <w:rsid w:val="00CF44A2"/>
    <w:rsid w:val="00CF4E9F"/>
    <w:rsid w:val="00D05F09"/>
    <w:rsid w:val="00D17C09"/>
    <w:rsid w:val="00D23E65"/>
    <w:rsid w:val="00D35FC8"/>
    <w:rsid w:val="00D36E1E"/>
    <w:rsid w:val="00D538C1"/>
    <w:rsid w:val="00D548A8"/>
    <w:rsid w:val="00D65056"/>
    <w:rsid w:val="00D913C8"/>
    <w:rsid w:val="00D91E1D"/>
    <w:rsid w:val="00DA2BA1"/>
    <w:rsid w:val="00DD4E7E"/>
    <w:rsid w:val="00E02887"/>
    <w:rsid w:val="00E041E4"/>
    <w:rsid w:val="00E05030"/>
    <w:rsid w:val="00E12FBA"/>
    <w:rsid w:val="00E14762"/>
    <w:rsid w:val="00E33F40"/>
    <w:rsid w:val="00E35097"/>
    <w:rsid w:val="00E50978"/>
    <w:rsid w:val="00E63A97"/>
    <w:rsid w:val="00E64A43"/>
    <w:rsid w:val="00E67A9F"/>
    <w:rsid w:val="00E83488"/>
    <w:rsid w:val="00E84345"/>
    <w:rsid w:val="00E84BF8"/>
    <w:rsid w:val="00E944B1"/>
    <w:rsid w:val="00EA25AC"/>
    <w:rsid w:val="00EB33CB"/>
    <w:rsid w:val="00EB3AE4"/>
    <w:rsid w:val="00EC6860"/>
    <w:rsid w:val="00F02CF0"/>
    <w:rsid w:val="00F174E8"/>
    <w:rsid w:val="00F223AA"/>
    <w:rsid w:val="00F25805"/>
    <w:rsid w:val="00F61CE5"/>
    <w:rsid w:val="00F6615D"/>
    <w:rsid w:val="00F77C13"/>
    <w:rsid w:val="00F9147F"/>
    <w:rsid w:val="00F92470"/>
    <w:rsid w:val="00FD76F7"/>
    <w:rsid w:val="00FE206D"/>
    <w:rsid w:val="022F70B0"/>
    <w:rsid w:val="02FF4B84"/>
    <w:rsid w:val="049A71E0"/>
    <w:rsid w:val="067D41D0"/>
    <w:rsid w:val="081D3695"/>
    <w:rsid w:val="0F613566"/>
    <w:rsid w:val="1C7A2643"/>
    <w:rsid w:val="1E882545"/>
    <w:rsid w:val="1FE821A6"/>
    <w:rsid w:val="22204597"/>
    <w:rsid w:val="226C72CE"/>
    <w:rsid w:val="29197E1F"/>
    <w:rsid w:val="2971200A"/>
    <w:rsid w:val="30F00C4D"/>
    <w:rsid w:val="33F56A0C"/>
    <w:rsid w:val="3B154B95"/>
    <w:rsid w:val="3B930E89"/>
    <w:rsid w:val="411F62CD"/>
    <w:rsid w:val="418F6D43"/>
    <w:rsid w:val="44032B17"/>
    <w:rsid w:val="4A9F69BF"/>
    <w:rsid w:val="500D5C57"/>
    <w:rsid w:val="546D02D1"/>
    <w:rsid w:val="5A1977CB"/>
    <w:rsid w:val="5ABD3205"/>
    <w:rsid w:val="5DFE1627"/>
    <w:rsid w:val="5FD72093"/>
    <w:rsid w:val="5FE3683F"/>
    <w:rsid w:val="69C2784A"/>
    <w:rsid w:val="6F485930"/>
    <w:rsid w:val="7E305C35"/>
    <w:rsid w:val="7F7D2A23"/>
    <w:rsid w:val="7FDE1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Document Map"/>
    <w:basedOn w:val="1"/>
    <w:semiHidden/>
    <w:qFormat/>
    <w:uiPriority w:val="0"/>
    <w:pPr>
      <w:shd w:val="clear" w:color="auto" w:fill="000080"/>
    </w:pPr>
  </w:style>
  <w:style w:type="paragraph" w:styleId="4">
    <w:name w:val="annotation text"/>
    <w:basedOn w:val="1"/>
    <w:semiHidden/>
    <w:qFormat/>
    <w:uiPriority w:val="0"/>
    <w:pPr>
      <w:jc w:val="left"/>
    </w:pPr>
  </w:style>
  <w:style w:type="paragraph" w:styleId="5">
    <w:name w:val="Body Text"/>
    <w:basedOn w:val="1"/>
    <w:qFormat/>
    <w:uiPriority w:val="0"/>
    <w:pPr>
      <w:spacing w:after="120"/>
    </w:pPr>
  </w:style>
  <w:style w:type="paragraph" w:styleId="6">
    <w:name w:val="Plain Text"/>
    <w:basedOn w:val="1"/>
    <w:qFormat/>
    <w:uiPriority w:val="0"/>
    <w:pPr>
      <w:ind w:firstLine="425"/>
    </w:pPr>
    <w:rPr>
      <w:rFonts w:ascii="宋体" w:hAnsi="Courier New"/>
      <w:szCs w:val="20"/>
    </w:rPr>
  </w:style>
  <w:style w:type="paragraph" w:styleId="7">
    <w:name w:val="Body Text Indent 2"/>
    <w:basedOn w:val="1"/>
    <w:qFormat/>
    <w:uiPriority w:val="0"/>
    <w:pPr>
      <w:spacing w:after="120" w:line="480" w:lineRule="auto"/>
      <w:ind w:left="420" w:leftChars="200"/>
    </w:pPr>
  </w:style>
  <w:style w:type="paragraph" w:styleId="8">
    <w:name w:val="Balloon Text"/>
    <w:basedOn w:val="1"/>
    <w:semiHidden/>
    <w:qFormat/>
    <w:uiPriority w:val="0"/>
    <w:rPr>
      <w:sz w:val="18"/>
      <w:szCs w:val="18"/>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annotation subject"/>
    <w:basedOn w:val="4"/>
    <w:next w:val="4"/>
    <w:semiHidden/>
    <w:qFormat/>
    <w:uiPriority w:val="0"/>
    <w:rPr>
      <w:b/>
      <w:bCs/>
    </w:rPr>
  </w:style>
  <w:style w:type="character" w:styleId="14">
    <w:name w:val="Strong"/>
    <w:qFormat/>
    <w:uiPriority w:val="0"/>
    <w:rPr>
      <w:b/>
      <w:bCs/>
    </w:rPr>
  </w:style>
  <w:style w:type="character" w:styleId="15">
    <w:name w:val="page number"/>
    <w:basedOn w:val="13"/>
    <w:qFormat/>
    <w:uiPriority w:val="0"/>
  </w:style>
  <w:style w:type="character" w:styleId="16">
    <w:name w:val="Hyperlink"/>
    <w:qFormat/>
    <w:uiPriority w:val="0"/>
    <w:rPr>
      <w:color w:val="0000FF"/>
      <w:u w:val="single"/>
    </w:rPr>
  </w:style>
  <w:style w:type="character" w:styleId="17">
    <w:name w:val="annotation reference"/>
    <w:semiHidden/>
    <w:qFormat/>
    <w:uiPriority w:val="0"/>
    <w:rPr>
      <w:sz w:val="21"/>
      <w:szCs w:val="21"/>
    </w:rPr>
  </w:style>
  <w:style w:type="paragraph" w:customStyle="1" w:styleId="18">
    <w:name w:val="Char"/>
    <w:basedOn w:val="1"/>
    <w:qFormat/>
    <w:uiPriority w:val="0"/>
  </w:style>
  <w:style w:type="paragraph" w:customStyle="1" w:styleId="1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0">
    <w:name w:val="_Style 19"/>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TIOSOA</Company>
  <Pages>5</Pages>
  <Words>2140</Words>
  <Characters>2255</Characters>
  <Lines>18</Lines>
  <Paragraphs>5</Paragraphs>
  <TotalTime>4</TotalTime>
  <ScaleCrop>false</ScaleCrop>
  <LinksUpToDate>false</LinksUpToDate>
  <CharactersWithSpaces>2312</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2021-12-02T06:31:00Z</dcterms:created>
  <dc:creator>Qinghua Qi</dc:creator>
  <cp:lastModifiedBy>飯爺</cp:lastModifiedBy>
  <cp:lastPrinted>2023-10-12T02:31:44Z</cp:lastPrinted>
  <dcterms:modified xsi:type="dcterms:W3CDTF">2023-10-12T02:31:46Z</dcterms:modified>
  <dc:title>国家海洋局海洋-大气化学与全球变化重点实验室</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17F15EF2685546F590524CA99BA83968</vt:lpwstr>
  </property>
</Properties>
</file>